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46CF6" w14:textId="7F71E9E2" w:rsidR="00A80A9B" w:rsidRDefault="000D4A84" w:rsidP="00A80A9B">
      <w:pPr>
        <w:rPr>
          <w:b/>
          <w:bCs/>
          <w:u w:val="single"/>
        </w:rPr>
      </w:pPr>
      <w:r w:rsidRPr="000D4A84">
        <w:rPr>
          <w:b/>
          <w:bCs/>
          <w:u w:val="single"/>
        </w:rPr>
        <w:t>Data for Figure TS.10 - Technical Summary of the Working Group III Contribution to the IPCC Sixth Assessment Report</w:t>
      </w:r>
    </w:p>
    <w:p w14:paraId="5026870D" w14:textId="77777777" w:rsidR="000D4A84" w:rsidRDefault="000D4A84" w:rsidP="00A80A9B"/>
    <w:p w14:paraId="7CEFB076" w14:textId="780510E0" w:rsidR="00A80A9B" w:rsidRPr="00A80A9B" w:rsidRDefault="00A80A9B" w:rsidP="00A80A9B">
      <w:pPr>
        <w:rPr>
          <w:b/>
          <w:u w:val="single"/>
        </w:rPr>
      </w:pPr>
      <w:r w:rsidRPr="00A80A9B">
        <w:rPr>
          <w:b/>
          <w:u w:val="single"/>
        </w:rPr>
        <w:t>Data processing or treatment:</w:t>
      </w:r>
    </w:p>
    <w:p w14:paraId="202F2F65" w14:textId="38D2D340" w:rsidR="00565E86" w:rsidRDefault="00565E86"/>
    <w:p w14:paraId="75B3CE63" w14:textId="77777777" w:rsidR="00A80A9B" w:rsidRDefault="00A80A9B" w:rsidP="00A80A9B">
      <w:r>
        <w:t>Data presented in this figure draws on the AR6 Scenarios Database.</w:t>
      </w:r>
    </w:p>
    <w:p w14:paraId="26E405D5" w14:textId="77777777" w:rsidR="00AF4B89" w:rsidRDefault="00AF4B89" w:rsidP="00A80A9B"/>
    <w:p w14:paraId="14C07494" w14:textId="77777777" w:rsidR="00AF4B89" w:rsidRDefault="00AF4B89" w:rsidP="00AF4B89">
      <w:r>
        <w:t>The figure includes only a subset of the scenarios on the metadata sheet “meta_Ch3vetted_withclimate”, distributed with the scenario data</w:t>
      </w:r>
    </w:p>
    <w:p w14:paraId="36450E15" w14:textId="77777777" w:rsidR="00AF4B89" w:rsidRDefault="00AF4B89" w:rsidP="00AF4B89"/>
    <w:p w14:paraId="123A1DF0" w14:textId="77777777" w:rsidR="00AF4B89" w:rsidRDefault="00AF4B89" w:rsidP="00AF4B89">
      <w:r>
        <w:t>The figure includes only scenarios that fall into certain categories:</w:t>
      </w:r>
    </w:p>
    <w:p w14:paraId="5A9B3FA7" w14:textId="77777777" w:rsidR="00AF4B89" w:rsidRDefault="00AF4B89" w:rsidP="00AF4B89">
      <w:pPr>
        <w:numPr>
          <w:ilvl w:val="0"/>
          <w:numId w:val="5"/>
        </w:numPr>
        <w:pBdr>
          <w:top w:val="nil"/>
          <w:left w:val="nil"/>
          <w:bottom w:val="nil"/>
          <w:right w:val="nil"/>
          <w:between w:val="nil"/>
        </w:pBdr>
      </w:pPr>
      <w:r>
        <w:rPr>
          <w:b/>
          <w:color w:val="000000"/>
        </w:rPr>
        <w:t>C1</w:t>
      </w:r>
      <w:r>
        <w:rPr>
          <w:color w:val="000000"/>
        </w:rPr>
        <w:t>: - scenarios that have climate categorization “Category_name” ==“C1: below 1.5 °C with no or limited overshoot”</w:t>
      </w:r>
    </w:p>
    <w:p w14:paraId="10E5BDBE" w14:textId="77777777" w:rsidR="00AF4B89" w:rsidRDefault="00AF4B89" w:rsidP="00AF4B89">
      <w:pPr>
        <w:numPr>
          <w:ilvl w:val="0"/>
          <w:numId w:val="5"/>
        </w:numPr>
        <w:pBdr>
          <w:top w:val="nil"/>
          <w:left w:val="nil"/>
          <w:bottom w:val="nil"/>
          <w:right w:val="nil"/>
          <w:between w:val="nil"/>
        </w:pBdr>
      </w:pPr>
      <w:r>
        <w:rPr>
          <w:b/>
          <w:color w:val="000000"/>
        </w:rPr>
        <w:t>C3</w:t>
      </w:r>
      <w:r>
        <w:rPr>
          <w:color w:val="000000"/>
        </w:rPr>
        <w:t>: - scenarios that have climate categorization “Category_name” ==“C3: likely below 2 °C”</w:t>
      </w:r>
    </w:p>
    <w:p w14:paraId="58ACCDDB" w14:textId="77777777" w:rsidR="00AF4B89" w:rsidRDefault="00AF4B89" w:rsidP="00AF4B89">
      <w:pPr>
        <w:numPr>
          <w:ilvl w:val="0"/>
          <w:numId w:val="5"/>
        </w:numPr>
        <w:pBdr>
          <w:top w:val="nil"/>
          <w:left w:val="nil"/>
          <w:bottom w:val="nil"/>
          <w:right w:val="nil"/>
          <w:between w:val="nil"/>
        </w:pBdr>
      </w:pPr>
      <w:r>
        <w:rPr>
          <w:b/>
          <w:color w:val="000000"/>
        </w:rPr>
        <w:t>Illustrative Mitigation Pathways (IMPs)</w:t>
      </w:r>
      <w:r>
        <w:rPr>
          <w:color w:val="000000"/>
        </w:rPr>
        <w:t>, as indicated by metadata column “IMP_marker”</w:t>
      </w:r>
    </w:p>
    <w:p w14:paraId="78622E5C" w14:textId="77777777" w:rsidR="00AF4B89" w:rsidRDefault="00AF4B89" w:rsidP="00AF4B89">
      <w:pPr>
        <w:numPr>
          <w:ilvl w:val="0"/>
          <w:numId w:val="5"/>
        </w:numPr>
        <w:pBdr>
          <w:top w:val="nil"/>
          <w:left w:val="nil"/>
          <w:bottom w:val="nil"/>
          <w:right w:val="nil"/>
          <w:between w:val="nil"/>
        </w:pBdr>
      </w:pPr>
      <w:r>
        <w:rPr>
          <w:b/>
          <w:color w:val="000000"/>
        </w:rPr>
        <w:t>Current Policies and 2030 pledges</w:t>
      </w:r>
      <w:r>
        <w:rPr>
          <w:color w:val="000000"/>
        </w:rPr>
        <w:t xml:space="preserve"> scenarios</w:t>
      </w:r>
      <w:r>
        <w:t xml:space="preserve"> includes all scenarios in any of these scenario sets:</w:t>
      </w:r>
    </w:p>
    <w:p w14:paraId="69997D86" w14:textId="77777777" w:rsidR="00AF4B89" w:rsidRDefault="00AF4B89" w:rsidP="00AF4B89">
      <w:pPr>
        <w:numPr>
          <w:ilvl w:val="1"/>
          <w:numId w:val="5"/>
        </w:numPr>
        <w:pBdr>
          <w:top w:val="nil"/>
          <w:left w:val="nil"/>
          <w:bottom w:val="nil"/>
          <w:right w:val="nil"/>
          <w:between w:val="nil"/>
        </w:pBdr>
      </w:pPr>
      <w:r>
        <w:rPr>
          <w:color w:val="000000"/>
        </w:rPr>
        <w:t>scenarios with “policy_category”==”P1b” AND with GHG emissions within the range 51.6-59.8 Gt CO2eq/yr in 2030, using the variable “AR6 climate diagnostics|Native-with-Infilled|Emissions|Kyoto Gases AR6-GWP100)”</w:t>
      </w:r>
    </w:p>
    <w:p w14:paraId="4071727E" w14:textId="77777777" w:rsidR="00AF4B89" w:rsidRDefault="00AF4B89" w:rsidP="00AF4B89">
      <w:pPr>
        <w:numPr>
          <w:ilvl w:val="1"/>
          <w:numId w:val="5"/>
        </w:numPr>
        <w:pBdr>
          <w:top w:val="nil"/>
          <w:left w:val="nil"/>
          <w:bottom w:val="nil"/>
          <w:right w:val="nil"/>
          <w:between w:val="nil"/>
        </w:pBdr>
      </w:pPr>
      <w:r>
        <w:t>scenarios with “policy_category”==”P1c” AND with GHG emissions within the range 46.7-56.8 Gt CO2eq/yr in 2030, using the variable “AR6 climate diagnostics|Native-with-Infilled|Emissions|Kyoto Gases AR6-GWP100)”</w:t>
      </w:r>
    </w:p>
    <w:p w14:paraId="5B422C6E" w14:textId="77777777" w:rsidR="00AF4B89" w:rsidRDefault="00AF4B89" w:rsidP="00AF4B89"/>
    <w:p w14:paraId="14AF5DF1" w14:textId="77777777" w:rsidR="00AF4B89" w:rsidRDefault="00AF4B89" w:rsidP="00AF4B89">
      <w:r>
        <w:t>For the panels, specific additional notes are provided:</w:t>
      </w:r>
    </w:p>
    <w:p w14:paraId="26B3A232" w14:textId="77777777" w:rsidR="00AF4B89" w:rsidRDefault="00AF4B89" w:rsidP="00AF4B89">
      <w:pPr>
        <w:rPr>
          <w:b/>
        </w:rPr>
      </w:pPr>
      <w:r>
        <w:rPr>
          <w:b/>
        </w:rPr>
        <w:t>Panels a, b, c, d:</w:t>
      </w:r>
    </w:p>
    <w:p w14:paraId="5462221E" w14:textId="77777777" w:rsidR="00AF4B89" w:rsidRDefault="00AF4B89" w:rsidP="00AF4B89">
      <w:pPr>
        <w:numPr>
          <w:ilvl w:val="0"/>
          <w:numId w:val="5"/>
        </w:numPr>
        <w:pBdr>
          <w:top w:val="nil"/>
          <w:left w:val="nil"/>
          <w:bottom w:val="nil"/>
          <w:right w:val="nil"/>
          <w:between w:val="nil"/>
        </w:pBdr>
      </w:pPr>
      <w:r>
        <w:rPr>
          <w:color w:val="000000"/>
        </w:rPr>
        <w:t xml:space="preserve">Shaded ranges for </w:t>
      </w:r>
      <w:r>
        <w:rPr>
          <w:i/>
          <w:color w:val="000000"/>
        </w:rPr>
        <w:t>Current Policies and 2030 pledges, Scenarios below 2°C (&gt;67</w:t>
      </w:r>
      <w:r>
        <w:rPr>
          <w:i/>
        </w:rPr>
        <w:t>%)</w:t>
      </w:r>
      <w:r>
        <w:rPr>
          <w:i/>
          <w:color w:val="000000"/>
        </w:rPr>
        <w:t xml:space="preserve"> (C3) </w:t>
      </w:r>
      <w:r>
        <w:rPr>
          <w:color w:val="000000"/>
        </w:rPr>
        <w:t>and</w:t>
      </w:r>
      <w:r>
        <w:rPr>
          <w:i/>
          <w:color w:val="000000"/>
        </w:rPr>
        <w:t xml:space="preserve"> Scenarios </w:t>
      </w:r>
      <w:r>
        <w:rPr>
          <w:i/>
        </w:rPr>
        <w:t>below</w:t>
      </w:r>
      <w:r>
        <w:rPr>
          <w:i/>
          <w:color w:val="000000"/>
        </w:rPr>
        <w:t xml:space="preserve"> 1.5 °C (&gt;50%)</w:t>
      </w:r>
      <w:r>
        <w:rPr>
          <w:color w:val="000000"/>
        </w:rPr>
        <w:t xml:space="preserve"> </w:t>
      </w:r>
      <w:r>
        <w:rPr>
          <w:i/>
          <w:color w:val="000000"/>
        </w:rPr>
        <w:t>with no or limited overshoot (C1)</w:t>
      </w:r>
      <w:r>
        <w:rPr>
          <w:color w:val="000000"/>
        </w:rPr>
        <w:t xml:space="preserve"> are defined as above, using the 5</w:t>
      </w:r>
      <w:r>
        <w:rPr>
          <w:color w:val="000000"/>
          <w:vertAlign w:val="superscript"/>
        </w:rPr>
        <w:t>th</w:t>
      </w:r>
      <w:r>
        <w:rPr>
          <w:color w:val="000000"/>
        </w:rPr>
        <w:t>-</w:t>
      </w:r>
      <w:r>
        <w:t>9</w:t>
      </w:r>
      <w:r>
        <w:rPr>
          <w:color w:val="000000"/>
        </w:rPr>
        <w:t>5</w:t>
      </w:r>
      <w:r>
        <w:rPr>
          <w:color w:val="000000"/>
          <w:vertAlign w:val="superscript"/>
        </w:rPr>
        <w:t>th</w:t>
      </w:r>
      <w:r>
        <w:rPr>
          <w:color w:val="000000"/>
        </w:rPr>
        <w:t xml:space="preserve"> percentile ranges of the variables:</w:t>
      </w:r>
    </w:p>
    <w:p w14:paraId="53C3BD74" w14:textId="77777777" w:rsidR="00AF4B89" w:rsidRDefault="00AF4B89" w:rsidP="00AF4B89">
      <w:pPr>
        <w:numPr>
          <w:ilvl w:val="1"/>
          <w:numId w:val="5"/>
        </w:numPr>
        <w:pBdr>
          <w:top w:val="nil"/>
          <w:left w:val="nil"/>
          <w:bottom w:val="nil"/>
          <w:right w:val="nil"/>
          <w:between w:val="nil"/>
        </w:pBdr>
      </w:pPr>
      <w:r>
        <w:t xml:space="preserve">(panel a) </w:t>
      </w:r>
      <w:r>
        <w:rPr>
          <w:color w:val="000000"/>
        </w:rPr>
        <w:t>“</w:t>
      </w:r>
      <w:r>
        <w:t>AR6 climate diagnostics|Infilled|Emissions|Kyoto Gases (AR6-GWP100)</w:t>
      </w:r>
      <w:r>
        <w:rPr>
          <w:color w:val="000000"/>
        </w:rPr>
        <w:t>”</w:t>
      </w:r>
    </w:p>
    <w:p w14:paraId="1747DBD7" w14:textId="77777777" w:rsidR="00AF4B89" w:rsidRDefault="00AF4B89" w:rsidP="00AF4B89">
      <w:pPr>
        <w:numPr>
          <w:ilvl w:val="1"/>
          <w:numId w:val="5"/>
        </w:numPr>
        <w:pBdr>
          <w:top w:val="nil"/>
          <w:left w:val="nil"/>
          <w:bottom w:val="nil"/>
          <w:right w:val="nil"/>
          <w:between w:val="nil"/>
        </w:pBdr>
      </w:pPr>
      <w:r>
        <w:t>(panel b) “AR6 climate diagnostics|Infilled|Emissions|CO2”</w:t>
      </w:r>
    </w:p>
    <w:p w14:paraId="3AC992A2" w14:textId="77777777" w:rsidR="00AF4B89" w:rsidRDefault="00AF4B89" w:rsidP="00AF4B89">
      <w:pPr>
        <w:numPr>
          <w:ilvl w:val="1"/>
          <w:numId w:val="5"/>
        </w:numPr>
        <w:pBdr>
          <w:top w:val="nil"/>
          <w:left w:val="nil"/>
          <w:bottom w:val="nil"/>
          <w:right w:val="nil"/>
          <w:between w:val="nil"/>
        </w:pBdr>
      </w:pPr>
      <w:r>
        <w:t xml:space="preserve">(panel c) </w:t>
      </w:r>
      <w:r>
        <w:rPr>
          <w:color w:val="000000"/>
        </w:rPr>
        <w:t>“</w:t>
      </w:r>
      <w:r>
        <w:t>AR6 climate diagnostics|Infilled|Emissions|CH4</w:t>
      </w:r>
      <w:r>
        <w:rPr>
          <w:color w:val="000000"/>
        </w:rPr>
        <w:t>”</w:t>
      </w:r>
    </w:p>
    <w:p w14:paraId="620B2E49" w14:textId="77777777" w:rsidR="00AF4B89" w:rsidRDefault="00AF4B89" w:rsidP="00AF4B89">
      <w:pPr>
        <w:numPr>
          <w:ilvl w:val="1"/>
          <w:numId w:val="5"/>
        </w:numPr>
        <w:pBdr>
          <w:top w:val="nil"/>
          <w:left w:val="nil"/>
          <w:bottom w:val="nil"/>
          <w:right w:val="nil"/>
          <w:between w:val="nil"/>
        </w:pBdr>
      </w:pPr>
      <w:r>
        <w:t xml:space="preserve">(panel d) </w:t>
      </w:r>
      <w:r>
        <w:rPr>
          <w:color w:val="000000"/>
        </w:rPr>
        <w:t>“</w:t>
      </w:r>
      <w:r>
        <w:t>AR6 climate diagnostics|Infilled|Emissions|N2O</w:t>
      </w:r>
      <w:r>
        <w:rPr>
          <w:color w:val="000000"/>
        </w:rPr>
        <w:t>”</w:t>
      </w:r>
    </w:p>
    <w:p w14:paraId="61FB93C3" w14:textId="77777777" w:rsidR="00AF4B89" w:rsidRDefault="00AF4B89" w:rsidP="00AF4B89">
      <w:pPr>
        <w:numPr>
          <w:ilvl w:val="0"/>
          <w:numId w:val="5"/>
        </w:numPr>
        <w:pBdr>
          <w:top w:val="nil"/>
          <w:left w:val="nil"/>
          <w:bottom w:val="nil"/>
          <w:right w:val="nil"/>
          <w:between w:val="nil"/>
        </w:pBdr>
      </w:pPr>
      <w:r>
        <w:rPr>
          <w:color w:val="000000"/>
        </w:rPr>
        <w:t>Individual lines for the IMPs use the same variables for those specific scenarios.</w:t>
      </w:r>
    </w:p>
    <w:p w14:paraId="0B60999A" w14:textId="77777777" w:rsidR="00AF4B89" w:rsidRDefault="00AF4B89" w:rsidP="00AF4B89">
      <w:pPr>
        <w:numPr>
          <w:ilvl w:val="0"/>
          <w:numId w:val="5"/>
        </w:numPr>
        <w:pBdr>
          <w:top w:val="nil"/>
          <w:left w:val="nil"/>
          <w:bottom w:val="nil"/>
          <w:right w:val="nil"/>
          <w:between w:val="nil"/>
        </w:pBdr>
      </w:pPr>
      <w:r>
        <w:rPr>
          <w:color w:val="000000"/>
        </w:rPr>
        <w:t xml:space="preserve">Historical emissions (black line) from 2000-2019 are from </w:t>
      </w:r>
      <w:r>
        <w:t>CEDS</w:t>
      </w:r>
      <w:r>
        <w:rPr>
          <w:color w:val="000000"/>
        </w:rPr>
        <w:t>, combining both fossil and biogenic sources, historical uncertainty is from EDGAR.</w:t>
      </w:r>
    </w:p>
    <w:p w14:paraId="13F162CB" w14:textId="77777777" w:rsidR="00AF4B89" w:rsidRDefault="00AF4B89" w:rsidP="00AF4B89">
      <w:pPr>
        <w:numPr>
          <w:ilvl w:val="0"/>
          <w:numId w:val="5"/>
        </w:numPr>
        <w:pBdr>
          <w:top w:val="nil"/>
          <w:left w:val="nil"/>
          <w:bottom w:val="nil"/>
          <w:right w:val="nil"/>
          <w:between w:val="nil"/>
        </w:pBdr>
      </w:pPr>
      <w:r>
        <w:t>The solid grey vertical uncertainty whiskers in 2015 indicate the 5-95th percentile range of modelled emissions, using respectively these variables:</w:t>
      </w:r>
    </w:p>
    <w:p w14:paraId="2E67C1EA" w14:textId="77777777" w:rsidR="00AF4B89" w:rsidRDefault="00AF4B89" w:rsidP="00AF4B89">
      <w:pPr>
        <w:numPr>
          <w:ilvl w:val="1"/>
          <w:numId w:val="5"/>
        </w:numPr>
        <w:pBdr>
          <w:top w:val="nil"/>
          <w:left w:val="nil"/>
          <w:bottom w:val="nil"/>
          <w:right w:val="nil"/>
          <w:between w:val="nil"/>
        </w:pBdr>
      </w:pPr>
      <w:r>
        <w:t>(panel a) AR6 climate diagnostics|Native-with-Infilled|Emissions|Kyoto Gases (AR6-GWP100)</w:t>
      </w:r>
    </w:p>
    <w:p w14:paraId="5D870260" w14:textId="77777777" w:rsidR="00AF4B89" w:rsidRDefault="00AF4B89" w:rsidP="00AF4B89">
      <w:pPr>
        <w:numPr>
          <w:ilvl w:val="1"/>
          <w:numId w:val="5"/>
        </w:numPr>
        <w:pBdr>
          <w:top w:val="nil"/>
          <w:left w:val="nil"/>
          <w:bottom w:val="nil"/>
          <w:right w:val="nil"/>
          <w:between w:val="nil"/>
        </w:pBdr>
      </w:pPr>
      <w:r>
        <w:t>(panel b) Emissions|CO2</w:t>
      </w:r>
    </w:p>
    <w:p w14:paraId="1F730AF2" w14:textId="77777777" w:rsidR="00AF4B89" w:rsidRDefault="00AF4B89" w:rsidP="00AF4B89">
      <w:pPr>
        <w:numPr>
          <w:ilvl w:val="1"/>
          <w:numId w:val="5"/>
        </w:numPr>
        <w:pBdr>
          <w:top w:val="nil"/>
          <w:left w:val="nil"/>
          <w:bottom w:val="nil"/>
          <w:right w:val="nil"/>
          <w:between w:val="nil"/>
        </w:pBdr>
      </w:pPr>
      <w:r>
        <w:t>(panel c) Emissions|CH4</w:t>
      </w:r>
    </w:p>
    <w:p w14:paraId="1B77B93D" w14:textId="77777777" w:rsidR="00AF4B89" w:rsidRDefault="00AF4B89" w:rsidP="00AF4B89">
      <w:pPr>
        <w:numPr>
          <w:ilvl w:val="1"/>
          <w:numId w:val="5"/>
        </w:numPr>
        <w:pBdr>
          <w:top w:val="nil"/>
          <w:left w:val="nil"/>
          <w:bottom w:val="nil"/>
          <w:right w:val="nil"/>
          <w:between w:val="nil"/>
        </w:pBdr>
      </w:pPr>
      <w:r>
        <w:t>(panel d) Emissions|N2O</w:t>
      </w:r>
    </w:p>
    <w:p w14:paraId="5B0A0C09" w14:textId="77777777" w:rsidR="00AF4B89" w:rsidRDefault="00AF4B89" w:rsidP="00AF4B89">
      <w:pPr>
        <w:rPr>
          <w:b/>
        </w:rPr>
      </w:pPr>
      <w:r>
        <w:rPr>
          <w:b/>
        </w:rPr>
        <w:t>Panel a and b:</w:t>
      </w:r>
    </w:p>
    <w:p w14:paraId="2B7C9BEC" w14:textId="77777777" w:rsidR="00AF4B89" w:rsidRDefault="00AF4B89" w:rsidP="00AF4B89">
      <w:pPr>
        <w:numPr>
          <w:ilvl w:val="0"/>
          <w:numId w:val="5"/>
        </w:numPr>
        <w:pBdr>
          <w:top w:val="nil"/>
          <w:left w:val="nil"/>
          <w:bottom w:val="nil"/>
          <w:right w:val="nil"/>
          <w:between w:val="nil"/>
        </w:pBdr>
      </w:pPr>
      <w:r>
        <w:rPr>
          <w:color w:val="000000"/>
        </w:rPr>
        <w:lastRenderedPageBreak/>
        <w:t xml:space="preserve">Year of net zero for Total </w:t>
      </w:r>
      <w:r>
        <w:t xml:space="preserve">GHG </w:t>
      </w:r>
      <w:r>
        <w:rPr>
          <w:color w:val="000000"/>
        </w:rPr>
        <w:t xml:space="preserve">and total </w:t>
      </w:r>
      <w:r>
        <w:t xml:space="preserve">CO2 </w:t>
      </w:r>
      <w:r>
        <w:rPr>
          <w:color w:val="000000"/>
        </w:rPr>
        <w:t>uses the respective year of net zero columns in the metadata (“</w:t>
      </w:r>
      <w:r>
        <w:t>year of netzero GHG emissions (Harm-Infilled)</w:t>
      </w:r>
      <w:r>
        <w:rPr>
          <w:color w:val="000000"/>
        </w:rPr>
        <w:t>”; “</w:t>
      </w:r>
      <w:r>
        <w:t>year of netzero CO2 emissions (Harm-Infilled)</w:t>
      </w:r>
      <w:r>
        <w:rPr>
          <w:color w:val="000000"/>
        </w:rPr>
        <w:t>”), and is split by Categories C1 &amp; C3.</w:t>
      </w:r>
    </w:p>
    <w:p w14:paraId="667680BA" w14:textId="77777777" w:rsidR="00AF4B89" w:rsidRDefault="00AF4B89" w:rsidP="00AF4B89">
      <w:pPr>
        <w:numPr>
          <w:ilvl w:val="0"/>
          <w:numId w:val="5"/>
        </w:numPr>
        <w:pBdr>
          <w:top w:val="nil"/>
          <w:left w:val="nil"/>
          <w:bottom w:val="nil"/>
          <w:right w:val="nil"/>
          <w:between w:val="nil"/>
        </w:pBdr>
        <w:rPr>
          <w:b/>
          <w:color w:val="000000"/>
        </w:rPr>
      </w:pPr>
      <w:r>
        <w:rPr>
          <w:color w:val="000000"/>
        </w:rPr>
        <w:t>Boxplots: box shows the interquartile range, thin vertical line the median. Whiskers extend to the 5</w:t>
      </w:r>
      <w:r>
        <w:rPr>
          <w:color w:val="000000"/>
          <w:vertAlign w:val="superscript"/>
        </w:rPr>
        <w:t>th</w:t>
      </w:r>
      <w:r>
        <w:rPr>
          <w:color w:val="000000"/>
        </w:rPr>
        <w:t xml:space="preserve"> and 95</w:t>
      </w:r>
      <w:r>
        <w:rPr>
          <w:color w:val="000000"/>
          <w:vertAlign w:val="superscript"/>
        </w:rPr>
        <w:t>th</w:t>
      </w:r>
      <w:r>
        <w:rPr>
          <w:color w:val="000000"/>
        </w:rPr>
        <w:t xml:space="preserve"> percentiles. Upside-down triangles show the specific timing of the respective IMPs.</w:t>
      </w:r>
    </w:p>
    <w:p w14:paraId="6B355129" w14:textId="77777777" w:rsidR="00AF4B89" w:rsidRDefault="00AF4B89" w:rsidP="00AF4B89">
      <w:pPr>
        <w:pBdr>
          <w:top w:val="nil"/>
          <w:left w:val="nil"/>
          <w:bottom w:val="nil"/>
          <w:right w:val="nil"/>
          <w:between w:val="nil"/>
        </w:pBdr>
        <w:rPr>
          <w:b/>
        </w:rPr>
      </w:pPr>
      <w:r>
        <w:rPr>
          <w:b/>
        </w:rPr>
        <w:t>Panel a:</w:t>
      </w:r>
    </w:p>
    <w:p w14:paraId="777779D1" w14:textId="77777777" w:rsidR="00AF4B89" w:rsidRDefault="00AF4B89" w:rsidP="00AF4B89">
      <w:pPr>
        <w:numPr>
          <w:ilvl w:val="0"/>
          <w:numId w:val="6"/>
        </w:numPr>
        <w:pBdr>
          <w:top w:val="nil"/>
          <w:left w:val="nil"/>
          <w:bottom w:val="nil"/>
          <w:right w:val="nil"/>
          <w:between w:val="nil"/>
        </w:pBdr>
      </w:pPr>
      <w:r>
        <w:t>The NDC range is consistent with SPM B.6.</w:t>
      </w:r>
    </w:p>
    <w:p w14:paraId="3D8944BB" w14:textId="77777777" w:rsidR="00AF4B89" w:rsidRDefault="00AF4B89" w:rsidP="00AF4B89">
      <w:pPr>
        <w:rPr>
          <w:b/>
        </w:rPr>
      </w:pPr>
      <w:r>
        <w:rPr>
          <w:b/>
        </w:rPr>
        <w:t>Panel e:</w:t>
      </w:r>
    </w:p>
    <w:p w14:paraId="561E92DF" w14:textId="77777777" w:rsidR="00AF4B89" w:rsidRDefault="00AF4B89" w:rsidP="00AF4B89">
      <w:pPr>
        <w:numPr>
          <w:ilvl w:val="0"/>
          <w:numId w:val="5"/>
        </w:numPr>
        <w:pBdr>
          <w:top w:val="nil"/>
          <w:left w:val="nil"/>
          <w:bottom w:val="nil"/>
          <w:right w:val="nil"/>
          <w:between w:val="nil"/>
        </w:pBdr>
      </w:pPr>
      <w:r>
        <w:rPr>
          <w:color w:val="000000"/>
        </w:rPr>
        <w:t>Sources and Sinks of CO</w:t>
      </w:r>
      <w:r>
        <w:rPr>
          <w:color w:val="000000"/>
          <w:vertAlign w:val="subscript"/>
        </w:rPr>
        <w:t>2</w:t>
      </w:r>
      <w:r>
        <w:rPr>
          <w:color w:val="000000"/>
        </w:rPr>
        <w:t xml:space="preserve"> and Non-CO</w:t>
      </w:r>
      <w:r>
        <w:rPr>
          <w:color w:val="000000"/>
          <w:vertAlign w:val="subscript"/>
        </w:rPr>
        <w:t>2</w:t>
      </w:r>
      <w:r>
        <w:rPr>
          <w:color w:val="000000"/>
        </w:rPr>
        <w:t xml:space="preserve"> emissions derive from emissions variables of the respective IMPs. Data was interpolated to annual values so that the emissions at the respective “year of net zero” for each IMP could be chosen.</w:t>
      </w:r>
    </w:p>
    <w:p w14:paraId="6DF56627" w14:textId="77777777" w:rsidR="00AF4B89" w:rsidRDefault="00AF4B89" w:rsidP="00AF4B89">
      <w:pPr>
        <w:numPr>
          <w:ilvl w:val="0"/>
          <w:numId w:val="5"/>
        </w:numPr>
        <w:pBdr>
          <w:top w:val="nil"/>
          <w:left w:val="nil"/>
          <w:bottom w:val="nil"/>
          <w:right w:val="nil"/>
          <w:between w:val="nil"/>
        </w:pBdr>
      </w:pPr>
      <w:r>
        <w:rPr>
          <w:color w:val="000000"/>
        </w:rPr>
        <w:t>For each category in the bar chart, following variables are used:</w:t>
      </w:r>
    </w:p>
    <w:p w14:paraId="7A5CCAA5" w14:textId="77777777" w:rsidR="00AF4B89" w:rsidRDefault="00AF4B89" w:rsidP="00AF4B89">
      <w:pPr>
        <w:numPr>
          <w:ilvl w:val="1"/>
          <w:numId w:val="5"/>
        </w:numPr>
        <w:pBdr>
          <w:top w:val="nil"/>
          <w:left w:val="nil"/>
          <w:bottom w:val="nil"/>
          <w:right w:val="nil"/>
          <w:between w:val="nil"/>
        </w:pBdr>
      </w:pPr>
      <w:r>
        <w:rPr>
          <w:b/>
          <w:color w:val="000000"/>
        </w:rPr>
        <w:t>Buildings:</w:t>
      </w:r>
      <w:r>
        <w:rPr>
          <w:color w:val="000000"/>
        </w:rPr>
        <w:t xml:space="preserve"> Emissions|CO2|Energy|Demand|Residential and Commercial</w:t>
      </w:r>
    </w:p>
    <w:p w14:paraId="54D70C1C" w14:textId="77777777" w:rsidR="00AF4B89" w:rsidRDefault="00AF4B89" w:rsidP="00AF4B89">
      <w:pPr>
        <w:numPr>
          <w:ilvl w:val="1"/>
          <w:numId w:val="5"/>
        </w:numPr>
        <w:pBdr>
          <w:top w:val="nil"/>
          <w:left w:val="nil"/>
          <w:bottom w:val="nil"/>
          <w:right w:val="nil"/>
          <w:between w:val="nil"/>
        </w:pBdr>
      </w:pPr>
      <w:r>
        <w:rPr>
          <w:b/>
          <w:color w:val="000000"/>
        </w:rPr>
        <w:t>Industry:</w:t>
      </w:r>
      <w:r>
        <w:rPr>
          <w:color w:val="000000"/>
        </w:rPr>
        <w:t xml:space="preserve"> Emissions|CO2|Energy|Demand|Industrial Processes + Emissions|CO2|Industrial Processes</w:t>
      </w:r>
    </w:p>
    <w:p w14:paraId="58F864DD" w14:textId="77777777" w:rsidR="00AF4B89" w:rsidRDefault="00AF4B89" w:rsidP="00AF4B89">
      <w:pPr>
        <w:numPr>
          <w:ilvl w:val="1"/>
          <w:numId w:val="5"/>
        </w:numPr>
        <w:pBdr>
          <w:top w:val="nil"/>
          <w:left w:val="nil"/>
          <w:bottom w:val="nil"/>
          <w:right w:val="nil"/>
          <w:between w:val="nil"/>
        </w:pBdr>
      </w:pPr>
      <w:r>
        <w:rPr>
          <w:b/>
          <w:color w:val="000000"/>
        </w:rPr>
        <w:t>Transport:</w:t>
      </w:r>
      <w:r>
        <w:rPr>
          <w:color w:val="000000"/>
        </w:rPr>
        <w:t xml:space="preserve"> Emissions|CO2|Energy|Demand|Transportation</w:t>
      </w:r>
    </w:p>
    <w:p w14:paraId="4C425231" w14:textId="77777777" w:rsidR="00AF4B89" w:rsidRDefault="00AF4B89" w:rsidP="00AF4B89">
      <w:pPr>
        <w:numPr>
          <w:ilvl w:val="1"/>
          <w:numId w:val="5"/>
        </w:numPr>
        <w:pBdr>
          <w:top w:val="nil"/>
          <w:left w:val="nil"/>
          <w:bottom w:val="nil"/>
          <w:right w:val="nil"/>
          <w:between w:val="nil"/>
        </w:pBdr>
        <w:rPr>
          <w:b/>
          <w:color w:val="000000"/>
        </w:rPr>
      </w:pPr>
      <w:r>
        <w:rPr>
          <w:b/>
          <w:color w:val="000000"/>
        </w:rPr>
        <w:t xml:space="preserve">Energy Supply (pos.): </w:t>
      </w:r>
      <w:r>
        <w:rPr>
          <w:b/>
          <w:color w:val="000000"/>
        </w:rPr>
        <w:br/>
      </w:r>
      <w:r>
        <w:t>Emissions|CO2|Energy and Industrial Processes - (Emissions|CO2|Energy|Demand|Residential and Commercial + Emissions|CO2|Energy|Demand|Industrial Processes + Emissions|CO2|Industrial Processes + Emissions|CO2|Energy|Demand|Transportation</w:t>
      </w:r>
      <w:r>
        <w:br/>
        <w:t>- (Carbon Sequestration|CCS|Biomass + Carbon Sequestration|Direct Air Capture)</w:t>
      </w:r>
    </w:p>
    <w:p w14:paraId="27580ED3" w14:textId="77777777" w:rsidR="00AF4B89" w:rsidRDefault="00AF4B89" w:rsidP="00AF4B89">
      <w:pPr>
        <w:numPr>
          <w:ilvl w:val="1"/>
          <w:numId w:val="5"/>
        </w:numPr>
        <w:pBdr>
          <w:top w:val="nil"/>
          <w:left w:val="nil"/>
          <w:bottom w:val="nil"/>
          <w:right w:val="nil"/>
          <w:between w:val="nil"/>
        </w:pBdr>
        <w:rPr>
          <w:b/>
          <w:color w:val="000000"/>
        </w:rPr>
      </w:pPr>
      <w:r>
        <w:rPr>
          <w:b/>
          <w:color w:val="000000"/>
        </w:rPr>
        <w:t xml:space="preserve">Energy Supply (neg.):  </w:t>
      </w:r>
      <w:r>
        <w:rPr>
          <w:color w:val="000000"/>
        </w:rPr>
        <w:t>Negative of (Carbon Sequestration|CCS|Biomass plus Carbon Sequestration|Direct Air Capture)</w:t>
      </w:r>
    </w:p>
    <w:p w14:paraId="783D7324" w14:textId="77777777" w:rsidR="00AF4B89" w:rsidRDefault="00AF4B89" w:rsidP="00AF4B89">
      <w:pPr>
        <w:numPr>
          <w:ilvl w:val="1"/>
          <w:numId w:val="5"/>
        </w:numPr>
        <w:pBdr>
          <w:top w:val="nil"/>
          <w:left w:val="nil"/>
          <w:bottom w:val="nil"/>
          <w:right w:val="nil"/>
          <w:between w:val="nil"/>
        </w:pBdr>
        <w:rPr>
          <w:b/>
          <w:color w:val="000000"/>
        </w:rPr>
      </w:pPr>
      <w:r>
        <w:rPr>
          <w:b/>
          <w:color w:val="000000"/>
        </w:rPr>
        <w:t xml:space="preserve">AFOLU: </w:t>
      </w:r>
      <w:r>
        <w:rPr>
          <w:color w:val="000000"/>
        </w:rPr>
        <w:t>Emissions|CO2|AFOLU</w:t>
      </w:r>
    </w:p>
    <w:p w14:paraId="687718A6" w14:textId="77777777" w:rsidR="00AF4B89" w:rsidRDefault="00AF4B89" w:rsidP="00AF4B89">
      <w:pPr>
        <w:numPr>
          <w:ilvl w:val="1"/>
          <w:numId w:val="5"/>
        </w:numPr>
        <w:pBdr>
          <w:top w:val="nil"/>
          <w:left w:val="nil"/>
          <w:bottom w:val="nil"/>
          <w:right w:val="nil"/>
          <w:between w:val="nil"/>
        </w:pBdr>
        <w:rPr>
          <w:b/>
          <w:color w:val="000000"/>
        </w:rPr>
      </w:pPr>
      <w:r>
        <w:rPr>
          <w:b/>
          <w:color w:val="000000"/>
        </w:rPr>
        <w:t>Non-CO</w:t>
      </w:r>
      <w:r>
        <w:rPr>
          <w:b/>
          <w:color w:val="000000"/>
          <w:vertAlign w:val="subscript"/>
        </w:rPr>
        <w:t>2</w:t>
      </w:r>
      <w:r>
        <w:rPr>
          <w:b/>
          <w:color w:val="000000"/>
        </w:rPr>
        <w:t xml:space="preserve">: </w:t>
      </w:r>
      <w:r>
        <w:rPr>
          <w:color w:val="000000"/>
        </w:rPr>
        <w:t>AR6 climate diagnostics|Native-with-Infilled|Emissions|Kyoto Gases AR6-GWP100) - Emissions|CO2</w:t>
      </w:r>
    </w:p>
    <w:p w14:paraId="3BF979C9" w14:textId="77777777" w:rsidR="00AF4B89" w:rsidRDefault="00AF4B89" w:rsidP="00AF4B89">
      <w:pPr>
        <w:pBdr>
          <w:top w:val="nil"/>
          <w:left w:val="nil"/>
          <w:bottom w:val="nil"/>
          <w:right w:val="nil"/>
          <w:between w:val="nil"/>
        </w:pBdr>
        <w:ind w:left="1440"/>
        <w:rPr>
          <w:b/>
          <w:color w:val="000000"/>
        </w:rPr>
      </w:pPr>
    </w:p>
    <w:p w14:paraId="6CC1F9EB" w14:textId="77777777" w:rsidR="00AF4B89" w:rsidRDefault="00AF4B89" w:rsidP="00AF4B89">
      <w:pPr>
        <w:numPr>
          <w:ilvl w:val="0"/>
          <w:numId w:val="5"/>
        </w:numPr>
        <w:pBdr>
          <w:top w:val="nil"/>
          <w:left w:val="nil"/>
          <w:bottom w:val="nil"/>
          <w:right w:val="nil"/>
          <w:between w:val="nil"/>
        </w:pBdr>
      </w:pPr>
      <w:r>
        <w:rPr>
          <w:color w:val="000000"/>
        </w:rPr>
        <w:t>2019 values are calculated</w:t>
      </w:r>
      <w:r>
        <w:t xml:space="preserve"> as the median of all scenarios</w:t>
      </w:r>
      <w:r>
        <w:rPr>
          <w:color w:val="000000"/>
        </w:rPr>
        <w:t>, using linear interpolation between 201</w:t>
      </w:r>
      <w:r>
        <w:t>5</w:t>
      </w:r>
      <w:r>
        <w:rPr>
          <w:color w:val="000000"/>
        </w:rPr>
        <w:t xml:space="preserve"> and 2020 to get the value for 2019. Each category is then scale such that the sum of the medians (56.4 GtCO2e) is equal to the median of Emissions|CO2</w:t>
      </w:r>
      <w:r>
        <w:t xml:space="preserve"> (55.2 GtCO2e). The uncertainty range indicates the 5-95th percentiles of Emissions|CO2 (all scenarios).</w:t>
      </w:r>
    </w:p>
    <w:p w14:paraId="689DADC5" w14:textId="77777777" w:rsidR="00AF4B89" w:rsidRDefault="00AF4B89" w:rsidP="00AF4B89"/>
    <w:p w14:paraId="04205315" w14:textId="77777777" w:rsidR="00AF4B89" w:rsidRDefault="00AF4B89" w:rsidP="00AF4B89"/>
    <w:p w14:paraId="67201169" w14:textId="77777777" w:rsidR="00AF4B89" w:rsidRDefault="00AF4B89" w:rsidP="00AF4B89">
      <w:pPr>
        <w:rPr>
          <w:b/>
        </w:rPr>
      </w:pPr>
      <w:r>
        <w:rPr>
          <w:b/>
        </w:rPr>
        <w:t>Panel f)</w:t>
      </w:r>
    </w:p>
    <w:p w14:paraId="5448DF9B" w14:textId="77777777" w:rsidR="00AF4B89" w:rsidRDefault="00AF4B89" w:rsidP="00AF4B89">
      <w:pPr>
        <w:numPr>
          <w:ilvl w:val="0"/>
          <w:numId w:val="9"/>
        </w:numPr>
        <w:pBdr>
          <w:top w:val="nil"/>
          <w:left w:val="nil"/>
          <w:bottom w:val="nil"/>
          <w:right w:val="nil"/>
          <w:between w:val="nil"/>
        </w:pBdr>
      </w:pPr>
      <w:r>
        <w:rPr>
          <w:color w:val="000000"/>
        </w:rPr>
        <w:t>Filter to keep only scenarios that reach net zero GHGs by 2100, using variable “AR6 climate diagnostics|Native-with-Infilled|Emissions|Kyoto Gases (AR6-GWP100)”</w:t>
      </w:r>
    </w:p>
    <w:p w14:paraId="0AB71DD2" w14:textId="77777777" w:rsidR="00AF4B89" w:rsidRDefault="00AF4B89" w:rsidP="00AF4B89">
      <w:pPr>
        <w:numPr>
          <w:ilvl w:val="0"/>
          <w:numId w:val="9"/>
        </w:numPr>
        <w:pBdr>
          <w:top w:val="nil"/>
          <w:left w:val="nil"/>
          <w:bottom w:val="nil"/>
          <w:right w:val="nil"/>
          <w:between w:val="nil"/>
        </w:pBdr>
      </w:pPr>
      <w:r>
        <w:rPr>
          <w:color w:val="000000"/>
        </w:rPr>
        <w:t>Interpolate data to annual timestep.</w:t>
      </w:r>
    </w:p>
    <w:p w14:paraId="2DFFB2F8" w14:textId="77777777" w:rsidR="00AF4B89" w:rsidRDefault="00AF4B89" w:rsidP="00AF4B89">
      <w:pPr>
        <w:numPr>
          <w:ilvl w:val="0"/>
          <w:numId w:val="9"/>
        </w:numPr>
        <w:pBdr>
          <w:top w:val="nil"/>
          <w:left w:val="nil"/>
          <w:bottom w:val="nil"/>
          <w:right w:val="nil"/>
          <w:between w:val="nil"/>
        </w:pBdr>
      </w:pPr>
      <w:r>
        <w:rPr>
          <w:color w:val="000000"/>
        </w:rPr>
        <w:t>Keep only scenarios that have all required variables for the calculations below.</w:t>
      </w:r>
    </w:p>
    <w:p w14:paraId="458197FB" w14:textId="77777777" w:rsidR="00AF4B89" w:rsidRDefault="00AF4B89" w:rsidP="00AF4B89"/>
    <w:p w14:paraId="17B04164" w14:textId="77777777" w:rsidR="00AF4B89" w:rsidRDefault="00AF4B89" w:rsidP="00AF4B89">
      <w:r>
        <w:t xml:space="preserve">All calculations here are done on an individual model-scenario basis. </w:t>
      </w:r>
    </w:p>
    <w:p w14:paraId="5FC95E8F" w14:textId="77777777" w:rsidR="00AF4B89" w:rsidRDefault="00AF4B89" w:rsidP="00AF4B89"/>
    <w:p w14:paraId="4B3D8DDB" w14:textId="77777777" w:rsidR="00AF4B89" w:rsidRDefault="00AF4B89" w:rsidP="00AF4B89">
      <w:pPr>
        <w:rPr>
          <w:b/>
        </w:rPr>
      </w:pPr>
      <w:r>
        <w:rPr>
          <w:b/>
        </w:rPr>
        <w:t>Step 1: Pre-processing of categories and variables</w:t>
      </w:r>
    </w:p>
    <w:p w14:paraId="1377F8B5" w14:textId="77777777" w:rsidR="00AF4B89" w:rsidRDefault="00AF4B89" w:rsidP="00AF4B89"/>
    <w:p w14:paraId="7C8CEBAD" w14:textId="77777777" w:rsidR="00AF4B89" w:rsidRDefault="00AF4B89" w:rsidP="00AF4B89">
      <w:r>
        <w:t>Pre-processing is required to make the following variables / categories used in the plot.</w:t>
      </w:r>
    </w:p>
    <w:p w14:paraId="453A4754" w14:textId="77777777" w:rsidR="00AF4B89" w:rsidRDefault="00AF4B89" w:rsidP="00AF4B89">
      <w:pPr>
        <w:numPr>
          <w:ilvl w:val="0"/>
          <w:numId w:val="7"/>
        </w:numPr>
        <w:pBdr>
          <w:top w:val="nil"/>
          <w:left w:val="nil"/>
          <w:bottom w:val="nil"/>
          <w:right w:val="nil"/>
          <w:between w:val="nil"/>
        </w:pBdr>
        <w:rPr>
          <w:color w:val="000000"/>
        </w:rPr>
      </w:pPr>
      <w:r>
        <w:rPr>
          <w:b/>
          <w:color w:val="000000"/>
        </w:rPr>
        <w:t>Bunkers</w:t>
      </w:r>
      <w:r>
        <w:rPr>
          <w:color w:val="000000"/>
        </w:rPr>
        <w:t xml:space="preserve"> = (Emissions|CO2, World) – sum(Emissions|CO2, all R5 regions)</w:t>
      </w:r>
    </w:p>
    <w:p w14:paraId="67CF488A" w14:textId="77777777" w:rsidR="00AF4B89" w:rsidRDefault="00AF4B89" w:rsidP="00AF4B89">
      <w:pPr>
        <w:numPr>
          <w:ilvl w:val="0"/>
          <w:numId w:val="7"/>
        </w:numPr>
        <w:pBdr>
          <w:top w:val="nil"/>
          <w:left w:val="nil"/>
          <w:bottom w:val="nil"/>
          <w:right w:val="nil"/>
          <w:between w:val="nil"/>
        </w:pBdr>
        <w:rPr>
          <w:color w:val="000000"/>
        </w:rPr>
      </w:pPr>
      <w:r>
        <w:rPr>
          <w:b/>
          <w:color w:val="000000"/>
        </w:rPr>
        <w:t>Demand</w:t>
      </w:r>
      <w:r>
        <w:rPr>
          <w:color w:val="000000"/>
        </w:rPr>
        <w:t xml:space="preserve"> = Emissions|CO2|Energy|Demand + 'Emissions|CO2|Industrial Processes' + Bunkers</w:t>
      </w:r>
    </w:p>
    <w:p w14:paraId="161ECCF9" w14:textId="77777777" w:rsidR="00AF4B89" w:rsidRDefault="00AF4B89" w:rsidP="00AF4B89">
      <w:pPr>
        <w:numPr>
          <w:ilvl w:val="0"/>
          <w:numId w:val="7"/>
        </w:numPr>
        <w:pBdr>
          <w:top w:val="nil"/>
          <w:left w:val="nil"/>
          <w:bottom w:val="nil"/>
          <w:right w:val="nil"/>
          <w:between w:val="nil"/>
        </w:pBdr>
        <w:rPr>
          <w:color w:val="000000"/>
        </w:rPr>
      </w:pPr>
      <w:r>
        <w:rPr>
          <w:b/>
          <w:color w:val="000000"/>
        </w:rPr>
        <w:t>AFOLU</w:t>
      </w:r>
      <w:r>
        <w:rPr>
          <w:color w:val="000000"/>
        </w:rPr>
        <w:t xml:space="preserve"> = Emissions|CO2|AFOLU</w:t>
      </w:r>
    </w:p>
    <w:p w14:paraId="36AA2315" w14:textId="77777777" w:rsidR="00AF4B89" w:rsidRDefault="00AF4B89" w:rsidP="00AF4B89">
      <w:pPr>
        <w:numPr>
          <w:ilvl w:val="0"/>
          <w:numId w:val="7"/>
        </w:numPr>
        <w:pBdr>
          <w:top w:val="nil"/>
          <w:left w:val="nil"/>
          <w:bottom w:val="nil"/>
          <w:right w:val="nil"/>
          <w:between w:val="nil"/>
        </w:pBdr>
        <w:rPr>
          <w:color w:val="000000"/>
        </w:rPr>
      </w:pPr>
      <w:r>
        <w:rPr>
          <w:b/>
          <w:color w:val="000000"/>
        </w:rPr>
        <w:t>Non-CO2</w:t>
      </w:r>
      <w:r>
        <w:rPr>
          <w:color w:val="000000"/>
        </w:rPr>
        <w:t xml:space="preserve"> = AR6 climate diagnostics|Infilled|Emissions|Kyoto Gases (AR6-GWP100) – Emissions|CO2</w:t>
      </w:r>
    </w:p>
    <w:p w14:paraId="3810A011" w14:textId="77777777" w:rsidR="00AF4B89" w:rsidRDefault="00AF4B89" w:rsidP="00AF4B89">
      <w:pPr>
        <w:numPr>
          <w:ilvl w:val="0"/>
          <w:numId w:val="7"/>
        </w:numPr>
        <w:pBdr>
          <w:top w:val="nil"/>
          <w:left w:val="nil"/>
          <w:bottom w:val="nil"/>
          <w:right w:val="nil"/>
          <w:between w:val="nil"/>
        </w:pBdr>
        <w:rPr>
          <w:color w:val="000000"/>
        </w:rPr>
      </w:pPr>
      <w:r>
        <w:rPr>
          <w:b/>
          <w:color w:val="000000"/>
        </w:rPr>
        <w:t>SupplyNew</w:t>
      </w:r>
      <w:r>
        <w:rPr>
          <w:color w:val="000000"/>
        </w:rPr>
        <w:t xml:space="preserve"> = Emissions|CO2 – Demand – AFOLU</w:t>
      </w:r>
    </w:p>
    <w:p w14:paraId="70D971EE" w14:textId="77777777" w:rsidR="00AF4B89" w:rsidRDefault="00AF4B89" w:rsidP="00AF4B89"/>
    <w:p w14:paraId="60F4BBC8" w14:textId="77777777" w:rsidR="00AF4B89" w:rsidRDefault="00AF4B89" w:rsidP="00AF4B89">
      <w:r>
        <w:t xml:space="preserve">For sectoral Direct and Indirect (Upstream) emissions, the Direct and Indirect emissions for the sectors {Buildings, Industry, Transport} must be individually calculated. </w:t>
      </w:r>
    </w:p>
    <w:p w14:paraId="27D4DF78" w14:textId="77777777" w:rsidR="00AF4B89" w:rsidRDefault="00AF4B89" w:rsidP="00AF4B89"/>
    <w:p w14:paraId="2C8DC314" w14:textId="77777777" w:rsidR="00AF4B89" w:rsidRDefault="00AF4B89" w:rsidP="00AF4B89">
      <w:r>
        <w:t>The sum of these, equals the sum of Energy|Supply + Energy|Demand i.e.:</w:t>
      </w:r>
    </w:p>
    <w:p w14:paraId="5581B0DA" w14:textId="77777777" w:rsidR="00AF4B89" w:rsidRDefault="00AF4B89" w:rsidP="00AF4B89">
      <w:pPr>
        <w:numPr>
          <w:ilvl w:val="0"/>
          <w:numId w:val="5"/>
        </w:numPr>
        <w:pBdr>
          <w:top w:val="nil"/>
          <w:left w:val="nil"/>
          <w:bottom w:val="nil"/>
          <w:right w:val="nil"/>
          <w:between w:val="nil"/>
        </w:pBdr>
      </w:pPr>
      <w:r>
        <w:rPr>
          <w:b/>
          <w:color w:val="000000"/>
        </w:rPr>
        <w:t>Emissions|CO2|Supply+Demand</w:t>
      </w:r>
      <w:r>
        <w:rPr>
          <w:color w:val="000000"/>
        </w:rPr>
        <w:t xml:space="preserve"> = Emissions|CO2|Energy|SupplyNew + Emissions|CO2|Energy|Demand</w:t>
      </w:r>
    </w:p>
    <w:p w14:paraId="6B6A8C2F" w14:textId="77777777" w:rsidR="00AF4B89" w:rsidRDefault="00AF4B89" w:rsidP="00AF4B89">
      <w:pPr>
        <w:rPr>
          <w:b/>
        </w:rPr>
      </w:pPr>
    </w:p>
    <w:p w14:paraId="7190E3FA" w14:textId="77777777" w:rsidR="00AF4B89" w:rsidRDefault="00AF4B89" w:rsidP="00AF4B89">
      <w:pPr>
        <w:rPr>
          <w:b/>
        </w:rPr>
      </w:pPr>
      <w:r>
        <w:rPr>
          <w:b/>
        </w:rPr>
        <w:t>Calculate Indirect emissions (here called Upstream)</w:t>
      </w:r>
    </w:p>
    <w:p w14:paraId="5E86E63B" w14:textId="77777777" w:rsidR="00AF4B89" w:rsidRDefault="00AF4B89" w:rsidP="00AF4B89">
      <w:r>
        <w:t>To calculate indirect (”Upstream”) emissions, emissions factors are calculated for each upstream fuel and multiplied by the Final Energy use of the sectors. i.e.</w:t>
      </w:r>
    </w:p>
    <w:p w14:paraId="783B3B60" w14:textId="77777777" w:rsidR="00AF4B89" w:rsidRDefault="00AF4B89" w:rsidP="00AF4B89">
      <w:r>
        <w:t>For fuels {Electricity, Liquids and Heat}, for the 3 sectors {Buildings, Industry, Transport}:</w:t>
      </w:r>
    </w:p>
    <w:p w14:paraId="1361B8D4" w14:textId="77777777" w:rsidR="00AF4B89" w:rsidRDefault="00AF4B89" w:rsidP="00AF4B89">
      <w:pPr>
        <w:numPr>
          <w:ilvl w:val="1"/>
          <w:numId w:val="8"/>
        </w:numPr>
        <w:pBdr>
          <w:top w:val="nil"/>
          <w:left w:val="nil"/>
          <w:bottom w:val="nil"/>
          <w:right w:val="nil"/>
          <w:between w:val="nil"/>
        </w:pBdr>
        <w:rPr>
          <w:color w:val="000000"/>
        </w:rPr>
      </w:pPr>
      <w:r>
        <w:rPr>
          <w:color w:val="000000"/>
        </w:rPr>
        <w:t xml:space="preserve">Calculate Emissions factors by fuel, i.e. </w:t>
      </w:r>
      <w:r>
        <w:rPr>
          <w:b/>
          <w:color w:val="000000"/>
        </w:rPr>
        <w:t>Emissions factor|{fuel}</w:t>
      </w:r>
      <w:r>
        <w:rPr>
          <w:color w:val="000000"/>
        </w:rPr>
        <w:t xml:space="preserve"> =  Emissions|CO2|Energy|Supply|{fuel} /  Secondary Energy|{fuel}</w:t>
      </w:r>
    </w:p>
    <w:p w14:paraId="26FC66AC" w14:textId="77777777" w:rsidR="00AF4B89" w:rsidRDefault="00AF4B89" w:rsidP="00AF4B89">
      <w:pPr>
        <w:numPr>
          <w:ilvl w:val="1"/>
          <w:numId w:val="8"/>
        </w:numPr>
        <w:pBdr>
          <w:top w:val="nil"/>
          <w:left w:val="nil"/>
          <w:bottom w:val="nil"/>
          <w:right w:val="nil"/>
          <w:between w:val="nil"/>
        </w:pBdr>
        <w:rPr>
          <w:color w:val="000000"/>
        </w:rPr>
      </w:pPr>
      <w:r>
        <w:rPr>
          <w:color w:val="000000"/>
        </w:rPr>
        <w:t xml:space="preserve">Calculate upstream emissions by sector and fuel, e.g. </w:t>
      </w:r>
      <w:r>
        <w:rPr>
          <w:b/>
          <w:color w:val="000000"/>
        </w:rPr>
        <w:t>Emissions|CO2|Upstream|{sector}|{fuel}</w:t>
      </w:r>
      <w:r>
        <w:rPr>
          <w:color w:val="000000"/>
        </w:rPr>
        <w:t>  = Final Energy|{sector}|{fuel} * Emissions factor|{fuel}</w:t>
      </w:r>
    </w:p>
    <w:p w14:paraId="3BFB9D2A" w14:textId="77777777" w:rsidR="00AF4B89" w:rsidRDefault="00AF4B89" w:rsidP="00AF4B89">
      <w:pPr>
        <w:numPr>
          <w:ilvl w:val="1"/>
          <w:numId w:val="8"/>
        </w:numPr>
        <w:pBdr>
          <w:top w:val="nil"/>
          <w:left w:val="nil"/>
          <w:bottom w:val="nil"/>
          <w:right w:val="nil"/>
          <w:between w:val="nil"/>
        </w:pBdr>
        <w:rPr>
          <w:color w:val="000000"/>
        </w:rPr>
      </w:pPr>
      <w:r>
        <w:rPr>
          <w:color w:val="000000"/>
        </w:rPr>
        <w:t>Add these up:</w:t>
      </w:r>
    </w:p>
    <w:p w14:paraId="3EC93571" w14:textId="77777777" w:rsidR="00AF4B89" w:rsidRDefault="00AF4B89" w:rsidP="00AF4B89">
      <w:pPr>
        <w:numPr>
          <w:ilvl w:val="2"/>
          <w:numId w:val="8"/>
        </w:numPr>
        <w:pBdr>
          <w:top w:val="nil"/>
          <w:left w:val="nil"/>
          <w:bottom w:val="nil"/>
          <w:right w:val="nil"/>
          <w:between w:val="nil"/>
        </w:pBdr>
        <w:rPr>
          <w:b/>
          <w:color w:val="000000"/>
        </w:rPr>
      </w:pPr>
      <w:r>
        <w:rPr>
          <w:color w:val="000000"/>
        </w:rPr>
        <w:t xml:space="preserve">Sum fuels by sector to give </w:t>
      </w:r>
      <w:r>
        <w:rPr>
          <w:b/>
          <w:color w:val="000000"/>
        </w:rPr>
        <w:t>Emissions|CO2|Upstream|{sector}</w:t>
      </w:r>
    </w:p>
    <w:p w14:paraId="4813FA14" w14:textId="77777777" w:rsidR="00AF4B89" w:rsidRDefault="00AF4B89" w:rsidP="00AF4B89">
      <w:pPr>
        <w:numPr>
          <w:ilvl w:val="2"/>
          <w:numId w:val="8"/>
        </w:numPr>
        <w:pBdr>
          <w:top w:val="nil"/>
          <w:left w:val="nil"/>
          <w:bottom w:val="nil"/>
          <w:right w:val="nil"/>
          <w:between w:val="nil"/>
        </w:pBdr>
        <w:rPr>
          <w:b/>
          <w:color w:val="000000"/>
        </w:rPr>
      </w:pPr>
      <w:r>
        <w:rPr>
          <w:color w:val="000000"/>
        </w:rPr>
        <w:t>Add the sectoral Upstream to the Direct emissions to give</w:t>
      </w:r>
      <w:r>
        <w:rPr>
          <w:b/>
          <w:color w:val="000000"/>
        </w:rPr>
        <w:t xml:space="preserve"> Emissions|CO2|Dir+Upstream|{sector}</w:t>
      </w:r>
    </w:p>
    <w:p w14:paraId="416DBCCA" w14:textId="77777777" w:rsidR="00AF4B89" w:rsidRDefault="00AF4B89" w:rsidP="00AF4B89">
      <w:pPr>
        <w:numPr>
          <w:ilvl w:val="2"/>
          <w:numId w:val="8"/>
        </w:numPr>
        <w:pBdr>
          <w:top w:val="nil"/>
          <w:left w:val="nil"/>
          <w:bottom w:val="nil"/>
          <w:right w:val="nil"/>
          <w:between w:val="nil"/>
        </w:pBdr>
        <w:rPr>
          <w:b/>
          <w:color w:val="000000"/>
        </w:rPr>
      </w:pPr>
      <w:r>
        <w:rPr>
          <w:color w:val="000000"/>
        </w:rPr>
        <w:t>Add these up again for</w:t>
      </w:r>
      <w:r>
        <w:rPr>
          <w:b/>
          <w:color w:val="000000"/>
        </w:rPr>
        <w:t xml:space="preserve"> Emissions|CO2|Dir+Upstream</w:t>
      </w:r>
    </w:p>
    <w:p w14:paraId="29F05DF6" w14:textId="77777777" w:rsidR="00AF4B89" w:rsidRDefault="00AF4B89" w:rsidP="00AF4B89">
      <w:r>
        <w:t>N.B. For Transport, negative emissions need to be applied using the variable “Carbon Sequestration|CCS|Biomass|Energy|Supply|Liquids” due to Carbon Sequestration that occurs in CCS production of biofuels. This data must be first multiplied by -1 for correct accounting.</w:t>
      </w:r>
    </w:p>
    <w:p w14:paraId="05517246" w14:textId="77777777" w:rsidR="00AF4B89" w:rsidRDefault="00AF4B89" w:rsidP="00AF4B89"/>
    <w:p w14:paraId="20999AFC" w14:textId="77777777" w:rsidR="00AF4B89" w:rsidRDefault="00AF4B89" w:rsidP="00AF4B89">
      <w:r>
        <w:t xml:space="preserve">For each category (Energy Demand, Energy Supply, AFOLU, non-CO2), calculate % CO2 emissions reductions compared to the 2019 value for total GHGs. </w:t>
      </w:r>
    </w:p>
    <w:p w14:paraId="3FDB67D3" w14:textId="77777777" w:rsidR="00AF4B89" w:rsidRDefault="00AF4B89" w:rsidP="00AF4B89"/>
    <w:p w14:paraId="5F2ADEEB" w14:textId="77777777" w:rsidR="00AF4B89" w:rsidRDefault="00AF4B89" w:rsidP="00AF4B89">
      <w:r>
        <w:t>Either do this for only the year of net-zero (meta column 'year of net zero GHG emissions (Native-with-Infilled)') or do for all years and then keep only the net zero years.</w:t>
      </w:r>
    </w:p>
    <w:p w14:paraId="0AB6D256" w14:textId="77777777" w:rsidR="00AF4B89" w:rsidRDefault="00AF4B89" w:rsidP="00AF4B89"/>
    <w:p w14:paraId="22AFF57A" w14:textId="77777777" w:rsidR="00AF4B89" w:rsidRDefault="00AF4B89" w:rsidP="00AF4B89"/>
    <w:p w14:paraId="536900B1" w14:textId="77777777" w:rsidR="00AF4B89" w:rsidRDefault="00AF4B89" w:rsidP="00AF4B89">
      <w:pPr>
        <w:rPr>
          <w:b/>
        </w:rPr>
      </w:pPr>
      <w:r>
        <w:rPr>
          <w:b/>
        </w:rPr>
        <w:t>Step 2: Calculate emissions reductions and proportional contributions</w:t>
      </w:r>
    </w:p>
    <w:p w14:paraId="7E4C690E" w14:textId="77777777" w:rsidR="00AF4B89" w:rsidRDefault="00AF4B89" w:rsidP="00AF4B89">
      <w:pPr>
        <w:rPr>
          <w:b/>
        </w:rPr>
      </w:pPr>
    </w:p>
    <w:p w14:paraId="5467275C" w14:textId="77777777" w:rsidR="00AF4B89" w:rsidRDefault="00AF4B89" w:rsidP="00AF4B89">
      <w:r>
        <w:lastRenderedPageBreak/>
        <w:t xml:space="preserve">First calculate the absolute emissions reductions of all the sectors between 2019 and the year of net zero using Emissions|CO2|Energy|Supply+Demand to give: Reductions|Supply+Demand|abs </w:t>
      </w:r>
    </w:p>
    <w:p w14:paraId="145DD635" w14:textId="77777777" w:rsidR="00AF4B89" w:rsidRDefault="00AF4B89" w:rsidP="00AF4B89"/>
    <w:p w14:paraId="6EEF644D" w14:textId="77777777" w:rsidR="00AF4B89" w:rsidRDefault="00AF4B89" w:rsidP="00AF4B89">
      <w:r>
        <w:t>For each sector, on a model-scenario basis, calculate:</w:t>
      </w:r>
    </w:p>
    <w:p w14:paraId="70E7CEE3" w14:textId="77777777" w:rsidR="00AF4B89" w:rsidRDefault="00AF4B89" w:rsidP="00AF4B89">
      <w:pPr>
        <w:numPr>
          <w:ilvl w:val="0"/>
          <w:numId w:val="7"/>
        </w:numPr>
        <w:pBdr>
          <w:top w:val="nil"/>
          <w:left w:val="nil"/>
          <w:bottom w:val="nil"/>
          <w:right w:val="nil"/>
          <w:between w:val="nil"/>
        </w:pBdr>
        <w:rPr>
          <w:color w:val="000000"/>
        </w:rPr>
      </w:pPr>
      <w:r>
        <w:rPr>
          <w:color w:val="000000"/>
        </w:rPr>
        <w:t>Reductions|{sector}|abs = Absolute emissions reductions by each sector from base year to year of net zero</w:t>
      </w:r>
    </w:p>
    <w:p w14:paraId="07F8D07B" w14:textId="77777777" w:rsidR="00AF4B89" w:rsidRDefault="00AF4B89" w:rsidP="00AF4B89">
      <w:pPr>
        <w:numPr>
          <w:ilvl w:val="0"/>
          <w:numId w:val="7"/>
        </w:numPr>
        <w:pBdr>
          <w:top w:val="nil"/>
          <w:left w:val="nil"/>
          <w:bottom w:val="nil"/>
          <w:right w:val="nil"/>
          <w:between w:val="nil"/>
        </w:pBdr>
        <w:rPr>
          <w:color w:val="000000"/>
        </w:rPr>
      </w:pPr>
      <w:r>
        <w:rPr>
          <w:color w:val="000000"/>
        </w:rPr>
        <w:t>The % reductions by sector as proportion of the total reductions from all sectors i.e.</w:t>
      </w:r>
    </w:p>
    <w:p w14:paraId="6F62B574" w14:textId="77777777" w:rsidR="00AF4B89" w:rsidRDefault="00AF4B89" w:rsidP="00AF4B89">
      <w:pPr>
        <w:numPr>
          <w:ilvl w:val="1"/>
          <w:numId w:val="7"/>
        </w:numPr>
        <w:pBdr>
          <w:top w:val="nil"/>
          <w:left w:val="nil"/>
          <w:bottom w:val="nil"/>
          <w:right w:val="nil"/>
          <w:between w:val="nil"/>
        </w:pBdr>
        <w:rPr>
          <w:color w:val="000000"/>
        </w:rPr>
      </w:pPr>
      <w:r>
        <w:rPr>
          <w:color w:val="000000"/>
        </w:rPr>
        <w:t>Reductions|{sector}|% of Supply+Demand = Reductions|{sector}|abs / Reductions|Supply+Demand|abs</w:t>
      </w:r>
    </w:p>
    <w:p w14:paraId="38D81AE0" w14:textId="77777777" w:rsidR="00AF4B89" w:rsidRDefault="00AF4B89" w:rsidP="00AF4B89">
      <w:pPr>
        <w:numPr>
          <w:ilvl w:val="0"/>
          <w:numId w:val="7"/>
        </w:numPr>
        <w:pBdr>
          <w:top w:val="nil"/>
          <w:left w:val="nil"/>
          <w:bottom w:val="nil"/>
          <w:right w:val="nil"/>
          <w:between w:val="nil"/>
        </w:pBdr>
        <w:rPr>
          <w:color w:val="000000"/>
        </w:rPr>
      </w:pPr>
      <w:r>
        <w:rPr>
          <w:color w:val="000000"/>
        </w:rPr>
        <w:t>The % of upstream contribution to reduction by that sector, i.e.:</w:t>
      </w:r>
    </w:p>
    <w:p w14:paraId="558BE767" w14:textId="77777777" w:rsidR="00AF4B89" w:rsidRDefault="00AF4B89" w:rsidP="00AF4B89">
      <w:pPr>
        <w:numPr>
          <w:ilvl w:val="1"/>
          <w:numId w:val="7"/>
        </w:numPr>
        <w:pBdr>
          <w:top w:val="nil"/>
          <w:left w:val="nil"/>
          <w:bottom w:val="nil"/>
          <w:right w:val="nil"/>
          <w:between w:val="nil"/>
        </w:pBdr>
        <w:rPr>
          <w:color w:val="000000"/>
        </w:rPr>
      </w:pPr>
      <w:r>
        <w:rPr>
          <w:color w:val="000000"/>
        </w:rPr>
        <w:t>Reductions|{sector}|% of Upstream = Emissions|CO2|Upstream|{sector} / Reductions|{sector}|abs</w:t>
      </w:r>
    </w:p>
    <w:p w14:paraId="73394710" w14:textId="77777777" w:rsidR="00AF4B89" w:rsidRDefault="00AF4B89" w:rsidP="00AF4B89"/>
    <w:p w14:paraId="7768192F" w14:textId="77777777" w:rsidR="00AF4B89" w:rsidRDefault="00AF4B89" w:rsidP="00AF4B89">
      <w:r>
        <w:t>Quantiles (0.05, 0.5, 0.95) of the % of Supply+Demand reductions are then calculated for each sector. Because the quantiles do not exactly sum to 100% (~101%), i.e. q0.5 of Industry + Buildings + Transport ~= 100%, the values are scaled such that the sum of the q0.5{Buildings, Industry, Transport} = 100%</w:t>
      </w:r>
    </w:p>
    <w:p w14:paraId="0AFF0D74" w14:textId="77777777" w:rsidR="00A80A9B" w:rsidRDefault="00A80A9B" w:rsidP="00AF4B89"/>
    <w:sectPr w:rsidR="00A80A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907F3"/>
    <w:multiLevelType w:val="multilevel"/>
    <w:tmpl w:val="63EE3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703306"/>
    <w:multiLevelType w:val="multilevel"/>
    <w:tmpl w:val="77022C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DD3228"/>
    <w:multiLevelType w:val="multilevel"/>
    <w:tmpl w:val="CAE2B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D975A5"/>
    <w:multiLevelType w:val="multilevel"/>
    <w:tmpl w:val="01C2BD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F3A43B3"/>
    <w:multiLevelType w:val="multilevel"/>
    <w:tmpl w:val="F4E22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51338B"/>
    <w:multiLevelType w:val="multilevel"/>
    <w:tmpl w:val="23D86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B70F03"/>
    <w:multiLevelType w:val="multilevel"/>
    <w:tmpl w:val="0EFC4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87B757B"/>
    <w:multiLevelType w:val="multilevel"/>
    <w:tmpl w:val="61B49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7FA01E7"/>
    <w:multiLevelType w:val="multilevel"/>
    <w:tmpl w:val="6E1E0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897884">
    <w:abstractNumId w:val="7"/>
  </w:num>
  <w:num w:numId="2" w16cid:durableId="1245804119">
    <w:abstractNumId w:val="5"/>
  </w:num>
  <w:num w:numId="3" w16cid:durableId="655035319">
    <w:abstractNumId w:val="1"/>
  </w:num>
  <w:num w:numId="4" w16cid:durableId="1647707558">
    <w:abstractNumId w:val="0"/>
  </w:num>
  <w:num w:numId="5" w16cid:durableId="1286160151">
    <w:abstractNumId w:val="6"/>
  </w:num>
  <w:num w:numId="6" w16cid:durableId="1649280970">
    <w:abstractNumId w:val="2"/>
  </w:num>
  <w:num w:numId="7" w16cid:durableId="1862475322">
    <w:abstractNumId w:val="4"/>
  </w:num>
  <w:num w:numId="8" w16cid:durableId="1583446362">
    <w:abstractNumId w:val="8"/>
  </w:num>
  <w:num w:numId="9" w16cid:durableId="1412432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9B"/>
    <w:rsid w:val="000C489B"/>
    <w:rsid w:val="000D4A84"/>
    <w:rsid w:val="00565E86"/>
    <w:rsid w:val="005B2180"/>
    <w:rsid w:val="00A80A9B"/>
    <w:rsid w:val="00AF4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E985D6"/>
  <w15:chartTrackingRefBased/>
  <w15:docId w15:val="{CD3B11EA-4BE3-AF4C-A34E-E810FDAD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A9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757265">
      <w:bodyDiv w:val="1"/>
      <w:marLeft w:val="0"/>
      <w:marRight w:val="0"/>
      <w:marTop w:val="0"/>
      <w:marBottom w:val="0"/>
      <w:divBdr>
        <w:top w:val="none" w:sz="0" w:space="0" w:color="auto"/>
        <w:left w:val="none" w:sz="0" w:space="0" w:color="auto"/>
        <w:bottom w:val="none" w:sz="0" w:space="0" w:color="auto"/>
        <w:right w:val="none" w:sz="0" w:space="0" w:color="auto"/>
      </w:divBdr>
    </w:div>
    <w:div w:id="653141972">
      <w:bodyDiv w:val="1"/>
      <w:marLeft w:val="0"/>
      <w:marRight w:val="0"/>
      <w:marTop w:val="0"/>
      <w:marBottom w:val="0"/>
      <w:divBdr>
        <w:top w:val="none" w:sz="0" w:space="0" w:color="auto"/>
        <w:left w:val="none" w:sz="0" w:space="0" w:color="auto"/>
        <w:bottom w:val="none" w:sz="0" w:space="0" w:color="auto"/>
        <w:right w:val="none" w:sz="0" w:space="0" w:color="auto"/>
      </w:divBdr>
    </w:div>
    <w:div w:id="178993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1185</Words>
  <Characters>6760</Characters>
  <Application>Microsoft Office Word</Application>
  <DocSecurity>0</DocSecurity>
  <Lines>56</Lines>
  <Paragraphs>15</Paragraphs>
  <ScaleCrop>false</ScaleCrop>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Reynolds</dc:creator>
  <cp:keywords/>
  <dc:description/>
  <cp:lastModifiedBy>Charlotte Reynolds</cp:lastModifiedBy>
  <cp:revision>5</cp:revision>
  <dcterms:created xsi:type="dcterms:W3CDTF">2022-01-31T17:30:00Z</dcterms:created>
  <dcterms:modified xsi:type="dcterms:W3CDTF">2022-05-06T12:22:00Z</dcterms:modified>
</cp:coreProperties>
</file>